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-1187450</wp:posOffset>
            </wp:positionH>
            <wp:positionV relativeFrom="paragraph">
              <wp:posOffset>-895350</wp:posOffset>
            </wp:positionV>
            <wp:extent cx="7572375" cy="1069657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81900" cy="106870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190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ageBreakBefore/>
        <w:jc w:val="center"/>
        <w:rPr>
          <w:rFonts w:ascii="宋体" w:hAnsi="宋体" w:eastAsia="宋体"/>
          <w:sz w:val="48"/>
          <w:szCs w:val="48"/>
        </w:rPr>
      </w:pPr>
      <w:r>
        <w:rPr>
          <w:rFonts w:hint="eastAsia" w:ascii="宋体" w:hAnsi="宋体" w:eastAsia="宋体"/>
          <w:b/>
          <w:spacing w:val="4"/>
          <w:w w:val="94"/>
          <w:kern w:val="0"/>
          <w:sz w:val="48"/>
          <w:szCs w:val="48"/>
        </w:rPr>
        <w:t>2</w:t>
      </w:r>
      <w:r>
        <w:rPr>
          <w:rFonts w:ascii="宋体" w:hAnsi="宋体" w:eastAsia="宋体"/>
          <w:b/>
          <w:spacing w:val="4"/>
          <w:w w:val="94"/>
          <w:kern w:val="0"/>
          <w:sz w:val="48"/>
          <w:szCs w:val="48"/>
        </w:rPr>
        <w:t>023</w:t>
      </w:r>
      <w:r>
        <w:rPr>
          <w:rFonts w:hint="eastAsia" w:ascii="宋体" w:hAnsi="宋体" w:eastAsia="宋体"/>
          <w:b/>
          <w:spacing w:val="4"/>
          <w:w w:val="94"/>
          <w:kern w:val="0"/>
          <w:sz w:val="48"/>
          <w:szCs w:val="48"/>
        </w:rPr>
        <w:t>全国化工VOC</w:t>
      </w:r>
      <w:r>
        <w:rPr>
          <w:rFonts w:ascii="宋体" w:hAnsi="宋体" w:eastAsia="宋体"/>
          <w:b/>
          <w:spacing w:val="4"/>
          <w:w w:val="94"/>
          <w:kern w:val="0"/>
          <w:sz w:val="48"/>
          <w:szCs w:val="48"/>
        </w:rPr>
        <w:t>s</w:t>
      </w:r>
      <w:r>
        <w:rPr>
          <w:rFonts w:hint="eastAsia" w:ascii="宋体" w:hAnsi="宋体" w:eastAsia="宋体"/>
          <w:b/>
          <w:spacing w:val="4"/>
          <w:w w:val="94"/>
          <w:kern w:val="0"/>
          <w:sz w:val="48"/>
          <w:szCs w:val="48"/>
        </w:rPr>
        <w:t>深度治理技术与设施安全管控研讨会</w:t>
      </w:r>
    </w:p>
    <w:p>
      <w:pPr>
        <w:spacing w:line="460" w:lineRule="exact"/>
        <w:jc w:val="center"/>
        <w:rPr>
          <w:b/>
          <w:color w:val="0070C0"/>
          <w:sz w:val="36"/>
          <w:szCs w:val="36"/>
        </w:rPr>
      </w:pPr>
    </w:p>
    <w:p>
      <w:pPr>
        <w:spacing w:line="460" w:lineRule="exact"/>
        <w:jc w:val="center"/>
        <w:rPr>
          <w:b/>
          <w:color w:val="0070C0"/>
          <w:sz w:val="36"/>
          <w:szCs w:val="36"/>
        </w:rPr>
      </w:pPr>
      <w:r>
        <w:rPr>
          <w:rFonts w:hint="eastAsia"/>
          <w:b/>
          <w:color w:val="0070C0"/>
          <w:sz w:val="36"/>
          <w:szCs w:val="36"/>
        </w:rPr>
        <w:t>主题：减污降碳·安全提升</w:t>
      </w:r>
    </w:p>
    <w:p>
      <w:pPr>
        <w:pStyle w:val="12"/>
        <w:spacing w:line="360" w:lineRule="auto"/>
        <w:ind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一、论坛时间、地点</w:t>
      </w:r>
    </w:p>
    <w:p>
      <w:pPr>
        <w:spacing w:line="360" w:lineRule="auto"/>
        <w:ind w:firstLine="834" w:firstLineChars="298"/>
        <w:rPr>
          <w:sz w:val="28"/>
          <w:szCs w:val="28"/>
        </w:rPr>
      </w:pPr>
      <w:r>
        <w:rPr>
          <w:rFonts w:hint="eastAsia"/>
          <w:sz w:val="28"/>
          <w:szCs w:val="28"/>
        </w:rPr>
        <w:t>时间：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~</w:t>
      </w:r>
      <w:r>
        <w:rPr>
          <w:sz w:val="28"/>
          <w:szCs w:val="28"/>
        </w:rPr>
        <w:t>14</w:t>
      </w:r>
      <w:r>
        <w:rPr>
          <w:rFonts w:hint="eastAsia"/>
          <w:sz w:val="28"/>
          <w:szCs w:val="28"/>
        </w:rPr>
        <w:t>日（12日</w:t>
      </w:r>
      <w:r>
        <w:rPr>
          <w:sz w:val="28"/>
          <w:szCs w:val="28"/>
        </w:rPr>
        <w:t>报到</w:t>
      </w:r>
      <w:r>
        <w:rPr>
          <w:rFonts w:hint="eastAsia"/>
          <w:sz w:val="28"/>
          <w:szCs w:val="28"/>
        </w:rPr>
        <w:t>）</w:t>
      </w:r>
    </w:p>
    <w:p>
      <w:pPr>
        <w:spacing w:line="360" w:lineRule="auto"/>
        <w:ind w:firstLine="834" w:firstLineChars="298"/>
        <w:rPr>
          <w:rFonts w:ascii="仿宋" w:hAnsi="仿宋" w:eastAsia="仿宋"/>
          <w:sz w:val="32"/>
          <w:szCs w:val="32"/>
        </w:rPr>
      </w:pPr>
      <w:r>
        <w:rPr>
          <w:rFonts w:hint="eastAsia"/>
          <w:sz w:val="28"/>
          <w:szCs w:val="28"/>
        </w:rPr>
        <w:t>地点：山东</w:t>
      </w:r>
      <w:r>
        <w:rPr>
          <w:rFonts w:hint="eastAsia" w:asciiTheme="minorEastAsia" w:hAnsiTheme="minorEastAsia"/>
          <w:sz w:val="28"/>
          <w:szCs w:val="28"/>
        </w:rPr>
        <w:t>·</w:t>
      </w:r>
      <w:r>
        <w:rPr>
          <w:rFonts w:hint="eastAsia"/>
          <w:sz w:val="28"/>
          <w:szCs w:val="28"/>
        </w:rPr>
        <w:t xml:space="preserve">淄博 </w:t>
      </w:r>
      <w:r>
        <w:rPr>
          <w:sz w:val="28"/>
          <w:szCs w:val="28"/>
        </w:rPr>
        <w:t xml:space="preserve"> </w:t>
      </w:r>
    </w:p>
    <w:p>
      <w:pPr>
        <w:pStyle w:val="12"/>
        <w:spacing w:line="560" w:lineRule="exact"/>
        <w:ind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二、论坛组织结构</w:t>
      </w:r>
    </w:p>
    <w:p>
      <w:pPr>
        <w:spacing w:line="560" w:lineRule="exact"/>
        <w:ind w:firstLine="562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指导单位：</w:t>
      </w:r>
      <w:r>
        <w:rPr>
          <w:rFonts w:hint="eastAsia" w:ascii="宋体" w:hAnsi="宋体" w:eastAsia="宋体"/>
          <w:sz w:val="28"/>
          <w:szCs w:val="28"/>
        </w:rPr>
        <w:t>中国工业环保促进会</w:t>
      </w:r>
    </w:p>
    <w:p>
      <w:pPr>
        <w:spacing w:line="560" w:lineRule="exact"/>
        <w:ind w:firstLine="562" w:firstLineChars="200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主办单位：</w:t>
      </w:r>
      <w:r>
        <w:rPr>
          <w:rFonts w:hint="eastAsia" w:ascii="宋体" w:hAnsi="宋体" w:eastAsia="宋体"/>
          <w:sz w:val="28"/>
          <w:szCs w:val="28"/>
        </w:rPr>
        <w:t>中国工业环保促进会化工委员会</w:t>
      </w:r>
    </w:p>
    <w:p>
      <w:pPr>
        <w:spacing w:line="560" w:lineRule="exact"/>
        <w:ind w:firstLine="562" w:firstLineChars="200"/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协办单位：</w:t>
      </w:r>
      <w:r>
        <w:rPr>
          <w:rFonts w:hint="eastAsia" w:ascii="宋体" w:hAnsi="宋体" w:eastAsia="宋体"/>
          <w:sz w:val="28"/>
          <w:szCs w:val="28"/>
        </w:rPr>
        <w:t>西安昱昌环境科技有限公司</w:t>
      </w:r>
    </w:p>
    <w:p>
      <w:pPr>
        <w:spacing w:line="560" w:lineRule="exact"/>
        <w:ind w:firstLine="562" w:firstLineChars="20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b/>
          <w:sz w:val="28"/>
          <w:szCs w:val="28"/>
        </w:rPr>
        <w:t>承办单位：</w:t>
      </w:r>
      <w:r>
        <w:rPr>
          <w:rFonts w:hint="eastAsia" w:ascii="宋体" w:hAnsi="宋体" w:eastAsia="宋体"/>
          <w:sz w:val="28"/>
          <w:szCs w:val="28"/>
        </w:rPr>
        <w:t>北京中吉节能环保技术研究中心</w:t>
      </w:r>
    </w:p>
    <w:p>
      <w:pPr>
        <w:spacing w:line="560" w:lineRule="exact"/>
        <w:ind w:firstLine="562" w:firstLineChars="200"/>
        <w:rPr>
          <w:rFonts w:ascii="宋体" w:hAnsi="宋体" w:eastAsia="宋体"/>
          <w:sz w:val="32"/>
          <w:szCs w:val="32"/>
        </w:rPr>
      </w:pPr>
      <w:r>
        <w:rPr>
          <w:rFonts w:hint="eastAsia" w:ascii="宋体" w:hAnsi="宋体" w:eastAsia="宋体"/>
          <w:b/>
          <w:sz w:val="28"/>
          <w:szCs w:val="28"/>
        </w:rPr>
        <w:t>支持单位：</w:t>
      </w:r>
      <w:r>
        <w:rPr>
          <w:rFonts w:hint="eastAsia" w:ascii="宋体" w:hAnsi="宋体" w:eastAsia="宋体"/>
          <w:sz w:val="28"/>
          <w:szCs w:val="28"/>
        </w:rPr>
        <w:t>中国环境科学研究院、生态环境部环境规划院、生态环境部环评中心</w:t>
      </w:r>
    </w:p>
    <w:p>
      <w:pPr>
        <w:pStyle w:val="12"/>
        <w:spacing w:line="520" w:lineRule="exact"/>
        <w:ind w:firstLine="0" w:firstLineChars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三、大会主题报告（拟定）</w:t>
      </w:r>
    </w:p>
    <w:p>
      <w:pPr>
        <w:pStyle w:val="5"/>
        <w:numPr>
          <w:ilvl w:val="0"/>
          <w:numId w:val="1"/>
        </w:numPr>
        <w:shd w:val="clear" w:color="auto" w:fill="FFFFFF"/>
        <w:spacing w:line="480" w:lineRule="exact"/>
        <w:rPr>
          <w:rFonts w:asciiTheme="minorEastAsia" w:hAnsiTheme="minorEastAsia" w:eastAsiaTheme="minorEastAsia" w:cstheme="minorBidi"/>
          <w:b/>
          <w:kern w:val="2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b/>
          <w:kern w:val="2"/>
          <w:sz w:val="28"/>
          <w:szCs w:val="28"/>
        </w:rPr>
        <w:t>挥发性有机物治理存在的突出问题与优化提升策略</w:t>
      </w:r>
    </w:p>
    <w:p>
      <w:pPr>
        <w:pStyle w:val="5"/>
        <w:shd w:val="clear" w:color="auto" w:fill="FFFFFF"/>
        <w:spacing w:line="480" w:lineRule="exact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——宁淼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生态环境部环境规划院大气所 副所长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重点行业挥发性有机物治理探讨</w:t>
      </w:r>
    </w:p>
    <w:p>
      <w:pPr>
        <w:spacing w:line="480" w:lineRule="exact"/>
        <w:ind w:firstLine="2240" w:firstLineChars="8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——沙莎 生态环境部环境工程评估中心</w:t>
      </w:r>
    </w:p>
    <w:p>
      <w:pPr>
        <w:spacing w:line="480" w:lineRule="exact"/>
        <w:ind w:firstLine="3080" w:firstLineChars="11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挥发性有机物污染防控研究中心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副主任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旋转阀式RTO在化工行业VOCs治理中的技术优势及安全控制</w:t>
      </w:r>
    </w:p>
    <w:p>
      <w:pPr>
        <w:spacing w:line="480" w:lineRule="exact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——彭聪 西安昱昌环境科技有限公司 化工板块总裁</w:t>
      </w:r>
    </w:p>
    <w:p>
      <w:pPr>
        <w:pStyle w:val="5"/>
        <w:numPr>
          <w:ilvl w:val="0"/>
          <w:numId w:val="1"/>
        </w:numPr>
        <w:shd w:val="clear" w:color="auto" w:fill="FFFFFF"/>
        <w:spacing w:line="480" w:lineRule="exact"/>
        <w:rPr>
          <w:rFonts w:asciiTheme="minorEastAsia" w:hAnsiTheme="minorEastAsia" w:eastAsiaTheme="minorEastAsia" w:cstheme="minorBidi"/>
          <w:b/>
          <w:kern w:val="2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b/>
          <w:kern w:val="2"/>
          <w:sz w:val="28"/>
          <w:szCs w:val="28"/>
        </w:rPr>
        <w:t>双碳背景下化工行业高质量发展的几点思考</w:t>
      </w:r>
    </w:p>
    <w:p>
      <w:pPr>
        <w:pStyle w:val="5"/>
        <w:shd w:val="clear" w:color="auto" w:fill="FFFFFF"/>
        <w:spacing w:line="480" w:lineRule="exact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——达建文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齐鲁石化公司原首席专家/研究院 院长 </w:t>
      </w:r>
    </w:p>
    <w:p>
      <w:pPr>
        <w:pStyle w:val="5"/>
        <w:numPr>
          <w:ilvl w:val="0"/>
          <w:numId w:val="1"/>
        </w:numPr>
        <w:shd w:val="clear" w:color="auto" w:fill="FFFFFF"/>
        <w:spacing w:line="480" w:lineRule="exact"/>
        <w:rPr>
          <w:rFonts w:asciiTheme="minorEastAsia" w:hAnsiTheme="minorEastAsia" w:eastAsiaTheme="minorEastAsia" w:cstheme="minorBidi"/>
          <w:b/>
          <w:kern w:val="2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b/>
          <w:kern w:val="2"/>
          <w:sz w:val="28"/>
          <w:szCs w:val="28"/>
        </w:rPr>
        <w:t>石油化工重点行业VOCs管控要点</w:t>
      </w:r>
    </w:p>
    <w:p>
      <w:pPr>
        <w:pStyle w:val="5"/>
        <w:shd w:val="clear" w:color="auto" w:fill="FFFFFF"/>
        <w:spacing w:line="480" w:lineRule="exact"/>
        <w:ind w:firstLine="2380" w:firstLineChars="8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——李春晓 山东省环科院大气污染防控所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 xml:space="preserve">所长 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红外热成像技术在化工企业VOCs治理效果排查中的典型应用</w:t>
      </w:r>
    </w:p>
    <w:p>
      <w:pPr>
        <w:spacing w:line="480" w:lineRule="exact"/>
        <w:ind w:firstLine="1540" w:firstLineChars="55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——张钢锋 上海市环境科学研究院工程技术中心 主任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="仿宋" w:hAnsi="仿宋" w:eastAsia="仿宋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空气产品公司液氮深冷冷凝回收技术助力化工行业高浓度VOCs废气治理</w:t>
      </w:r>
      <w:r>
        <w:rPr>
          <w:rFonts w:asciiTheme="minorEastAsia" w:hAnsiTheme="minorEastAsia"/>
          <w:sz w:val="28"/>
          <w:szCs w:val="28"/>
        </w:rPr>
        <w:t xml:space="preserve"> </w:t>
      </w:r>
    </w:p>
    <w:p>
      <w:pPr>
        <w:spacing w:line="480" w:lineRule="exact"/>
        <w:ind w:left="5040" w:hanging="5040" w:hangingChars="1800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                 ——王恒  空气产品公司 资深应用 研发工程师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活性炭吸附技术的深度讲解</w:t>
      </w:r>
    </w:p>
    <w:p>
      <w:pPr>
        <w:pStyle w:val="5"/>
        <w:shd w:val="clear" w:color="auto" w:fill="FFFFFF"/>
        <w:spacing w:line="480" w:lineRule="exac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</w:rPr>
        <w:t xml:space="preserve">              </w:t>
      </w:r>
      <w:r>
        <w:rPr>
          <w:rFonts w:hint="eastAsia" w:asciiTheme="minorEastAsia" w:hAnsiTheme="minorEastAsia"/>
          <w:sz w:val="28"/>
          <w:szCs w:val="28"/>
        </w:rPr>
        <w:t>——李沄朔  北京日新达能技术有限公司 销售经理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双碳背景下的液氮深冷-氮气回收-强化生物法回收处理超高浓度VOC</w:t>
      </w:r>
      <w:r>
        <w:rPr>
          <w:rFonts w:asciiTheme="minorEastAsia" w:hAnsiTheme="minorEastAsia"/>
          <w:b/>
          <w:sz w:val="28"/>
          <w:szCs w:val="28"/>
        </w:rPr>
        <w:t>s</w:t>
      </w:r>
      <w:r>
        <w:rPr>
          <w:rFonts w:hint="eastAsia" w:asciiTheme="minorEastAsia" w:hAnsiTheme="minorEastAsia"/>
          <w:b/>
          <w:sz w:val="28"/>
          <w:szCs w:val="28"/>
        </w:rPr>
        <w:t>废气</w:t>
      </w:r>
    </w:p>
    <w:p>
      <w:pPr>
        <w:spacing w:line="480" w:lineRule="exact"/>
        <w:rPr>
          <w:rFonts w:asciiTheme="minorEastAsia" w:hAnsiTheme="minorEastAsia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</w:rPr>
        <w:t xml:space="preserve">        </w:t>
      </w:r>
      <w:r>
        <w:rPr>
          <w:rFonts w:hint="eastAsia" w:asciiTheme="minorEastAsia" w:hAnsiTheme="minorEastAsia"/>
          <w:sz w:val="28"/>
          <w:szCs w:val="28"/>
        </w:rPr>
        <w:t xml:space="preserve"> </w:t>
      </w:r>
      <w:r>
        <w:rPr>
          <w:rFonts w:asciiTheme="minorEastAsia" w:hAnsiTheme="minorEastAsia"/>
          <w:sz w:val="28"/>
          <w:szCs w:val="28"/>
        </w:rPr>
        <w:t xml:space="preserve"> </w:t>
      </w:r>
      <w:r>
        <w:rPr>
          <w:rFonts w:hint="eastAsia" w:asciiTheme="minorEastAsia" w:hAnsiTheme="minorEastAsia"/>
          <w:sz w:val="28"/>
          <w:szCs w:val="28"/>
        </w:rPr>
        <w:t>——王永仪 青岛金海晟环保设备有限公司 董事长/博士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蜂窝立体陶瓷膜高温气体过滤器及其应用</w:t>
      </w:r>
    </w:p>
    <w:p>
      <w:pPr>
        <w:spacing w:line="480" w:lineRule="exact"/>
        <w:jc w:val="right"/>
        <w:rPr>
          <w:rFonts w:asciiTheme="minorEastAsia" w:hAnsiTheme="minorEastAsia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>——吴汉阳 江西博鑫环保科技有限公司  总经理/高级工程师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VOC治理系统安全事故防范</w:t>
      </w:r>
    </w:p>
    <w:p>
      <w:pPr>
        <w:pStyle w:val="5"/>
        <w:shd w:val="clear" w:color="auto" w:fill="FFFFFF"/>
        <w:spacing w:line="480" w:lineRule="exact"/>
        <w:jc w:val="right"/>
        <w:rPr>
          <w:rFonts w:asciiTheme="minorEastAsia" w:hAnsiTheme="minorEastAsia" w:eastAsiaTheme="minorEastAsia" w:cstheme="minorBidi"/>
          <w:kern w:val="2"/>
          <w:sz w:val="28"/>
          <w:szCs w:val="28"/>
        </w:rPr>
      </w:pPr>
      <w:r>
        <w:rPr>
          <w:rFonts w:hint="eastAsia" w:asciiTheme="minorEastAsia" w:hAnsiTheme="minorEastAsia"/>
          <w:sz w:val="28"/>
          <w:szCs w:val="28"/>
        </w:rPr>
        <w:t xml:space="preserve">——张益铮 </w:t>
      </w: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</w:rPr>
        <w:t>北京劳动保护科学研究所  研究员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VOCs净化处理工艺及安全设计要点简介</w:t>
      </w:r>
    </w:p>
    <w:p>
      <w:pPr>
        <w:pStyle w:val="5"/>
        <w:shd w:val="clear" w:color="auto" w:fill="FFFFFF"/>
        <w:spacing w:line="480" w:lineRule="exact"/>
        <w:ind w:firstLine="1260" w:firstLineChars="450"/>
        <w:rPr>
          <w:rFonts w:asciiTheme="minorEastAsia" w:hAnsiTheme="minorEastAsia" w:eastAsiaTheme="minorEastAsia" w:cstheme="minorBidi"/>
          <w:kern w:val="2"/>
          <w:sz w:val="28"/>
          <w:szCs w:val="28"/>
        </w:rPr>
      </w:pPr>
      <w:r>
        <w:rPr>
          <w:rFonts w:hint="eastAsia" w:asciiTheme="minorEastAsia" w:hAnsiTheme="minorEastAsia" w:eastAsiaTheme="minorEastAsia" w:cstheme="minorBidi"/>
          <w:kern w:val="2"/>
          <w:sz w:val="28"/>
          <w:szCs w:val="28"/>
        </w:rPr>
        <w:t>——李建军 江苏齐清环境科技有限公司  研究员级高工</w:t>
      </w:r>
    </w:p>
    <w:p>
      <w:pPr>
        <w:pStyle w:val="13"/>
        <w:numPr>
          <w:ilvl w:val="0"/>
          <w:numId w:val="1"/>
        </w:numPr>
        <w:spacing w:line="480" w:lineRule="exact"/>
        <w:ind w:firstLineChars="0"/>
        <w:rPr>
          <w:rFonts w:ascii="宋体" w:hAnsi="宋体" w:eastAsia="宋体" w:cs="Times New Roman"/>
          <w:bCs/>
          <w:kern w:val="21"/>
          <w:sz w:val="28"/>
          <w:szCs w:val="28"/>
        </w:rPr>
      </w:pPr>
      <w:r>
        <w:rPr>
          <w:rFonts w:ascii="宋体" w:hAnsi="宋体" w:eastAsia="宋体" w:cs="Times New Roman"/>
          <w:bCs/>
          <w:kern w:val="21"/>
          <w:sz w:val="28"/>
          <w:szCs w:val="28"/>
        </w:rPr>
        <w:t>膜分离+吸附/吸收、冷凝+吸脱附、冷凝+高效燃烧、液氮深冷+强化生物氧化法等组合工艺的选择和综合利用</w:t>
      </w:r>
    </w:p>
    <w:p>
      <w:pPr>
        <w:pStyle w:val="13"/>
        <w:numPr>
          <w:ilvl w:val="0"/>
          <w:numId w:val="2"/>
        </w:numPr>
        <w:spacing w:line="480" w:lineRule="exact"/>
        <w:ind w:left="218" w:leftChars="0" w:hanging="218" w:hangingChars="78"/>
        <w:rPr>
          <w:rFonts w:ascii="宋体" w:hAnsi="宋体" w:eastAsia="宋体" w:cs="Times New Roman"/>
          <w:bCs/>
          <w:kern w:val="21"/>
          <w:sz w:val="28"/>
          <w:szCs w:val="28"/>
        </w:rPr>
      </w:pPr>
      <w:r>
        <w:rPr>
          <w:rFonts w:ascii="宋体" w:hAnsi="宋体" w:eastAsia="宋体" w:cs="Times New Roman"/>
          <w:bCs/>
          <w:kern w:val="21"/>
          <w:sz w:val="28"/>
          <w:szCs w:val="28"/>
        </w:rPr>
        <w:t>精细化工行业VOCs治理技术及案例</w:t>
      </w:r>
    </w:p>
    <w:p>
      <w:pPr>
        <w:pStyle w:val="13"/>
        <w:numPr>
          <w:ilvl w:val="0"/>
          <w:numId w:val="2"/>
        </w:numPr>
        <w:spacing w:line="480" w:lineRule="exact"/>
        <w:ind w:left="218" w:leftChars="0" w:hanging="218" w:hangingChars="78"/>
        <w:rPr>
          <w:rFonts w:ascii="宋体" w:hAnsi="宋体" w:eastAsia="宋体" w:cs="Times New Roman"/>
          <w:bCs/>
          <w:kern w:val="21"/>
          <w:sz w:val="28"/>
          <w:szCs w:val="28"/>
        </w:rPr>
      </w:pPr>
      <w:r>
        <w:rPr>
          <w:rFonts w:ascii="宋体" w:hAnsi="宋体" w:eastAsia="宋体" w:cs="Times New Roman"/>
          <w:bCs/>
          <w:kern w:val="21"/>
          <w:sz w:val="28"/>
          <w:szCs w:val="28"/>
        </w:rPr>
        <w:t>医药化工行业VOCs污染全过程控制</w:t>
      </w:r>
    </w:p>
    <w:p>
      <w:pPr>
        <w:pStyle w:val="13"/>
        <w:numPr>
          <w:ilvl w:val="0"/>
          <w:numId w:val="2"/>
        </w:numPr>
        <w:spacing w:line="480" w:lineRule="exact"/>
        <w:ind w:left="218" w:leftChars="0" w:hanging="218" w:hangingChars="78"/>
        <w:rPr>
          <w:rFonts w:ascii="宋体" w:hAnsi="宋体" w:eastAsia="宋体" w:cs="Times New Roman"/>
          <w:bCs/>
          <w:kern w:val="21"/>
          <w:sz w:val="28"/>
          <w:szCs w:val="28"/>
        </w:rPr>
      </w:pPr>
      <w:r>
        <w:rPr>
          <w:rFonts w:ascii="宋体" w:hAnsi="宋体" w:eastAsia="宋体" w:cs="Times New Roman"/>
          <w:bCs/>
          <w:kern w:val="21"/>
          <w:sz w:val="28"/>
          <w:szCs w:val="28"/>
        </w:rPr>
        <w:t>工业园区VOCs精细化溯源及管控要求</w:t>
      </w:r>
    </w:p>
    <w:p>
      <w:pPr>
        <w:pStyle w:val="13"/>
        <w:numPr>
          <w:ilvl w:val="0"/>
          <w:numId w:val="2"/>
        </w:numPr>
        <w:spacing w:line="480" w:lineRule="exact"/>
        <w:ind w:left="218" w:leftChars="0" w:hanging="218" w:hangingChars="78"/>
        <w:rPr>
          <w:rFonts w:ascii="宋体" w:hAnsi="宋体" w:eastAsia="宋体" w:cs="Times New Roman"/>
          <w:bCs/>
          <w:kern w:val="21"/>
          <w:sz w:val="28"/>
          <w:szCs w:val="28"/>
        </w:rPr>
      </w:pPr>
      <w:r>
        <w:rPr>
          <w:rFonts w:ascii="宋体" w:hAnsi="宋体" w:eastAsia="宋体" w:cs="Times New Roman"/>
          <w:bCs/>
          <w:kern w:val="21"/>
          <w:sz w:val="28"/>
          <w:szCs w:val="28"/>
        </w:rPr>
        <w:t>绿岛VOCs综合治理模式和解决方案探讨</w:t>
      </w:r>
    </w:p>
    <w:p>
      <w:pPr>
        <w:spacing w:line="520" w:lineRule="exact"/>
        <w:rPr>
          <w:sz w:val="28"/>
          <w:szCs w:val="28"/>
        </w:rPr>
      </w:pPr>
      <w:r>
        <w:rPr>
          <w:rFonts w:hint="eastAsia" w:ascii="宋体" w:hAnsi="宋体" w:eastAsia="宋体" w:cs="Times New Roman"/>
          <w:b/>
          <w:kern w:val="21"/>
          <w:sz w:val="32"/>
          <w:szCs w:val="32"/>
        </w:rPr>
        <w:t>四、参会日程安排及费用</w:t>
      </w:r>
    </w:p>
    <w:p>
      <w:pPr>
        <w:pStyle w:val="12"/>
        <w:widowControl/>
        <w:spacing w:line="520" w:lineRule="exact"/>
        <w:ind w:firstLine="562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日程：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月</w:t>
      </w:r>
      <w:r>
        <w:rPr>
          <w:sz w:val="28"/>
          <w:szCs w:val="28"/>
        </w:rPr>
        <w:t>12</w:t>
      </w:r>
      <w:r>
        <w:rPr>
          <w:rFonts w:hint="eastAsia"/>
          <w:sz w:val="28"/>
          <w:szCs w:val="28"/>
        </w:rPr>
        <w:t>日14:00-22:00酒店大堂报到，1</w:t>
      </w:r>
      <w:r>
        <w:rPr>
          <w:sz w:val="28"/>
          <w:szCs w:val="28"/>
        </w:rPr>
        <w:t>3</w:t>
      </w:r>
      <w:r>
        <w:rPr>
          <w:rFonts w:hint="eastAsia"/>
          <w:sz w:val="28"/>
          <w:szCs w:val="28"/>
        </w:rPr>
        <w:t>全天1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日上午主题报告。</w:t>
      </w:r>
    </w:p>
    <w:p>
      <w:pPr>
        <w:pStyle w:val="12"/>
        <w:widowControl/>
        <w:spacing w:line="520" w:lineRule="exact"/>
        <w:ind w:firstLine="562"/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费用：</w:t>
      </w:r>
      <w:r>
        <w:rPr>
          <w:rFonts w:hint="eastAsia"/>
          <w:sz w:val="28"/>
          <w:szCs w:val="28"/>
        </w:rPr>
        <w:t>提前报名缴费为2000元/人，2人以上1500元/人，现场缴费2500元/人（包含会场、会议期间用餐、会议资料等费用；酒店住宿,组委会代订，费用自理。）</w:t>
      </w:r>
    </w:p>
    <w:p>
      <w:pPr>
        <w:pStyle w:val="12"/>
        <w:widowControl/>
        <w:spacing w:line="520" w:lineRule="exact"/>
        <w:ind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地点</w:t>
      </w:r>
      <w:r>
        <w:rPr>
          <w:sz w:val="28"/>
          <w:szCs w:val="28"/>
        </w:rPr>
        <w:t>：</w:t>
      </w:r>
      <w:r>
        <w:rPr>
          <w:rFonts w:hint="eastAsia"/>
          <w:sz w:val="28"/>
          <w:szCs w:val="28"/>
        </w:rPr>
        <w:t>淄博盛圆国际酒店</w:t>
      </w:r>
    </w:p>
    <w:p>
      <w:pPr>
        <w:pStyle w:val="12"/>
        <w:widowControl/>
        <w:spacing w:line="520" w:lineRule="exact"/>
        <w:ind w:firstLine="56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/>
          <w:sz w:val="28"/>
          <w:szCs w:val="28"/>
        </w:rPr>
        <w:t>交通</w:t>
      </w:r>
      <w:r>
        <w:rPr>
          <w:sz w:val="28"/>
          <w:szCs w:val="28"/>
        </w:rPr>
        <w:t>：</w:t>
      </w:r>
      <w:r>
        <w:rPr>
          <w:rFonts w:hint="eastAsia" w:ascii="仿宋" w:hAnsi="仿宋" w:eastAsia="仿宋"/>
          <w:sz w:val="24"/>
          <w:szCs w:val="24"/>
        </w:rPr>
        <w:t>淄博北站：乘坐出租车至盛圆国际酒店（预计10分钟）</w:t>
      </w:r>
    </w:p>
    <w:p>
      <w:pPr>
        <w:pStyle w:val="12"/>
        <w:widowControl/>
        <w:spacing w:line="520" w:lineRule="exact"/>
        <w:ind w:firstLine="1440" w:firstLineChars="60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淄博站：乘坐出租车至盛圆国际酒店（预计40分钟）</w:t>
      </w:r>
    </w:p>
    <w:p>
      <w:pPr>
        <w:pStyle w:val="12"/>
        <w:widowControl/>
        <w:spacing w:line="520" w:lineRule="exact"/>
        <w:ind w:firstLine="1320" w:firstLineChars="550"/>
        <w:jc w:val="left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济南遥墙机场：乘坐机场大巴，至淄博鲁中城市候机楼(国贸大厦)（预计2小时30分钟），然后坐出租车至盛圆国际酒店（预计30分钟）</w:t>
      </w:r>
    </w:p>
    <w:p>
      <w:pPr>
        <w:spacing w:line="520" w:lineRule="exact"/>
        <w:rPr>
          <w:sz w:val="28"/>
          <w:szCs w:val="28"/>
        </w:rPr>
      </w:pPr>
      <w:r>
        <w:rPr>
          <w:rFonts w:hint="eastAsia" w:ascii="宋体" w:hAnsi="宋体" w:eastAsia="宋体" w:cs="Times New Roman"/>
          <w:b/>
          <w:kern w:val="21"/>
          <w:sz w:val="32"/>
          <w:szCs w:val="32"/>
        </w:rPr>
        <w:t>五、组委会联系方式</w:t>
      </w:r>
    </w:p>
    <w:p>
      <w:pPr>
        <w:adjustRightInd w:val="0"/>
        <w:snapToGrid w:val="0"/>
        <w:spacing w:line="520" w:lineRule="exact"/>
        <w:ind w:firstLine="562" w:firstLineChars="200"/>
        <w:rPr>
          <w:rFonts w:hint="default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/>
          <w:sz w:val="28"/>
          <w:szCs w:val="28"/>
          <w:lang w:val="en-US" w:eastAsia="zh-Hans"/>
        </w:rPr>
        <w:t>李老师</w:t>
      </w:r>
      <w:r>
        <w:rPr>
          <w:rFonts w:hint="eastAsia" w:ascii="仿宋" w:hAnsi="仿宋" w:eastAsia="仿宋"/>
          <w:sz w:val="28"/>
          <w:szCs w:val="28"/>
        </w:rPr>
        <w:t xml:space="preserve">  手机/微信：136</w:t>
      </w:r>
      <w:r>
        <w:rPr>
          <w:rFonts w:hint="default" w:ascii="仿宋" w:hAnsi="仿宋" w:eastAsia="仿宋"/>
          <w:sz w:val="28"/>
          <w:szCs w:val="28"/>
        </w:rPr>
        <w:t>51068349</w:t>
      </w:r>
    </w:p>
    <w:p>
      <w:pPr>
        <w:adjustRightInd w:val="0"/>
        <w:snapToGrid w:val="0"/>
        <w:spacing w:line="520" w:lineRule="exact"/>
        <w:rPr>
          <w:rStyle w:val="10"/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</w:t>
      </w:r>
    </w:p>
    <w:p>
      <w:pPr>
        <w:adjustRightInd w:val="0"/>
        <w:snapToGrid w:val="0"/>
        <w:spacing w:line="520" w:lineRule="exac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</w:t>
      </w:r>
    </w:p>
    <w:p>
      <w:pPr>
        <w:spacing w:line="520" w:lineRule="exact"/>
      </w:pPr>
    </w:p>
    <w:p>
      <w:pPr>
        <w:pStyle w:val="6"/>
        <w:pageBreakBefore/>
        <w:widowControl/>
        <w:shd w:val="clear" w:color="auto" w:fill="FFFFFF"/>
        <w:spacing w:before="0" w:beforeAutospacing="0" w:after="0" w:afterAutospacing="0" w:line="400" w:lineRule="exact"/>
        <w:rPr>
          <w:rFonts w:ascii="仿宋" w:hAnsi="仿宋" w:eastAsia="仿宋" w:cstheme="minorBidi"/>
          <w:b/>
          <w:sz w:val="28"/>
          <w:szCs w:val="28"/>
        </w:rPr>
      </w:pPr>
      <w:r>
        <w:rPr>
          <w:rFonts w:hint="eastAsia" w:ascii="仿宋" w:hAnsi="仿宋" w:eastAsia="仿宋" w:cstheme="minorBidi"/>
          <w:b/>
          <w:sz w:val="28"/>
          <w:szCs w:val="28"/>
        </w:rPr>
        <w:t>附件表1、</w:t>
      </w:r>
    </w:p>
    <w:p>
      <w:pPr>
        <w:pStyle w:val="6"/>
        <w:widowControl/>
        <w:shd w:val="clear" w:color="auto" w:fill="FFFFFF"/>
        <w:spacing w:before="0" w:beforeAutospacing="0" w:after="0" w:afterAutospacing="0" w:line="500" w:lineRule="exact"/>
        <w:jc w:val="center"/>
        <w:rPr>
          <w:rFonts w:ascii="仿宋" w:hAnsi="仿宋" w:eastAsia="仿宋" w:cstheme="minorBidi"/>
          <w:b/>
          <w:sz w:val="44"/>
          <w:szCs w:val="44"/>
        </w:rPr>
      </w:pPr>
      <w:r>
        <w:rPr>
          <w:rFonts w:hint="eastAsia" w:ascii="仿宋" w:hAnsi="仿宋" w:eastAsia="仿宋" w:cstheme="minorBidi"/>
          <w:b/>
          <w:sz w:val="44"/>
          <w:szCs w:val="44"/>
        </w:rPr>
        <w:t>参会回执表</w:t>
      </w:r>
    </w:p>
    <w:p>
      <w:pPr>
        <w:pStyle w:val="6"/>
        <w:widowControl/>
        <w:shd w:val="clear" w:color="auto" w:fill="FFFFFF"/>
        <w:spacing w:before="0" w:beforeAutospacing="0" w:after="0" w:afterAutospacing="0" w:line="400" w:lineRule="exact"/>
        <w:jc w:val="center"/>
        <w:rPr>
          <w:rFonts w:ascii="仿宋" w:hAnsi="仿宋" w:eastAsia="仿宋" w:cstheme="minorBidi"/>
          <w:b/>
        </w:rPr>
      </w:pPr>
      <w:r>
        <w:rPr>
          <w:rFonts w:hint="eastAsia" w:ascii="仿宋" w:hAnsi="仿宋" w:eastAsia="仿宋" w:cstheme="minorBidi"/>
          <w:b/>
        </w:rPr>
        <w:t xml:space="preserve"> (</w:t>
      </w:r>
      <w:r>
        <w:rPr>
          <w:rFonts w:ascii="仿宋" w:hAnsi="仿宋" w:eastAsia="仿宋" w:cstheme="minorBidi"/>
          <w:b/>
        </w:rPr>
        <w:t xml:space="preserve"> </w:t>
      </w:r>
      <w:r>
        <w:rPr>
          <w:rFonts w:hint="eastAsia" w:ascii="仿宋" w:hAnsi="仿宋" w:eastAsia="仿宋" w:cstheme="minorBidi"/>
          <w:b/>
        </w:rPr>
        <w:t>参会回执表回复至邮箱</w:t>
      </w:r>
      <w:r>
        <w:rPr>
          <w:rFonts w:hint="default" w:ascii="仿宋" w:hAnsi="仿宋" w:eastAsia="仿宋" w:cstheme="minorBidi"/>
          <w:b/>
        </w:rPr>
        <w:t>379832604</w:t>
      </w:r>
      <w:r>
        <w:rPr>
          <w:rFonts w:hint="eastAsia" w:ascii="仿宋" w:hAnsi="仿宋" w:eastAsia="仿宋" w:cstheme="minorBidi"/>
          <w:b/>
        </w:rPr>
        <w:t>@qq.com</w:t>
      </w:r>
      <w:r>
        <w:rPr>
          <w:rFonts w:ascii="仿宋" w:hAnsi="仿宋" w:eastAsia="仿宋" w:cstheme="minorBidi"/>
          <w:b/>
        </w:rPr>
        <w:t xml:space="preserve"> </w:t>
      </w:r>
      <w:r>
        <w:rPr>
          <w:rFonts w:hint="eastAsia" w:ascii="仿宋" w:hAnsi="仿宋" w:eastAsia="仿宋" w:cstheme="minorBidi"/>
          <w:b/>
        </w:rPr>
        <w:t>)</w:t>
      </w:r>
    </w:p>
    <w:tbl>
      <w:tblPr>
        <w:tblStyle w:val="7"/>
        <w:tblW w:w="9169" w:type="dxa"/>
        <w:tblInd w:w="-18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851"/>
        <w:gridCol w:w="1458"/>
        <w:gridCol w:w="2020"/>
        <w:gridCol w:w="1341"/>
        <w:gridCol w:w="193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single" w:color="auto" w:sz="12" w:space="0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单位名称</w:t>
            </w:r>
          </w:p>
        </w:tc>
        <w:tc>
          <w:tcPr>
            <w:tcW w:w="7609" w:type="dxa"/>
            <w:gridSpan w:val="5"/>
            <w:tcBorders>
              <w:top w:val="single" w:color="auto" w:sz="12" w:space="0"/>
              <w:left w:val="nil"/>
              <w:bottom w:val="single" w:color="auto" w:sz="8" w:space="0"/>
              <w:right w:val="single" w:color="000000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主营产品</w:t>
            </w:r>
          </w:p>
        </w:tc>
        <w:tc>
          <w:tcPr>
            <w:tcW w:w="4329" w:type="dxa"/>
            <w:gridSpan w:val="3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4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经办人电话</w:t>
            </w:r>
          </w:p>
        </w:tc>
        <w:tc>
          <w:tcPr>
            <w:tcW w:w="193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仿宋" w:hAnsi="仿宋" w:eastAsia="仿宋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姓</w:t>
            </w: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  <w:t xml:space="preserve"> 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名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性别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职务</w:t>
            </w:r>
          </w:p>
        </w:tc>
        <w:tc>
          <w:tcPr>
            <w:tcW w:w="2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电话</w:t>
            </w:r>
            <w:r>
              <w:rPr>
                <w:rFonts w:ascii="Calibri" w:hAnsi="Calibri" w:eastAsia="宋体" w:cs="宋体"/>
                <w:b/>
                <w:bCs/>
                <w:color w:val="000000"/>
                <w:kern w:val="0"/>
                <w:szCs w:val="21"/>
              </w:rPr>
              <w:t>/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手机</w:t>
            </w:r>
          </w:p>
        </w:tc>
        <w:tc>
          <w:tcPr>
            <w:tcW w:w="32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电子邮箱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2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2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2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" w:hRule="atLeast"/>
        </w:trPr>
        <w:tc>
          <w:tcPr>
            <w:tcW w:w="1560" w:type="dxa"/>
            <w:tcBorders>
              <w:top w:val="nil"/>
              <w:left w:val="single" w:color="auto" w:sz="12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14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2020" w:type="dxa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  <w:tc>
          <w:tcPr>
            <w:tcW w:w="3280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宋体"/>
                <w:b/>
                <w:bCs/>
                <w:color w:val="000000"/>
                <w:kern w:val="0"/>
                <w:sz w:val="24"/>
                <w:szCs w:val="24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560" w:type="dxa"/>
            <w:vMerge w:val="restart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住宿预订</w:t>
            </w:r>
          </w:p>
          <w:p>
            <w:pPr>
              <w:widowControl/>
              <w:rPr>
                <w:rFonts w:ascii="宋体" w:hAnsi="宋体" w:eastAsia="宋体" w:cs="宋体"/>
                <w:bCs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609" w:type="dxa"/>
            <w:gridSpan w:val="5"/>
            <w:tcBorders>
              <w:top w:val="single" w:color="auto" w:sz="8" w:space="0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会议酒店</w:t>
            </w:r>
            <w:r>
              <w:rPr>
                <w:rFonts w:hint="eastAsia"/>
                <w:szCs w:val="21"/>
              </w:rPr>
              <w:t>：淄博盛圆国际酒店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地    址：淄博市桓台柳泉北路果里大道336号，电话：0533-8106666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住宿费用： 大床房(含双早)： </w:t>
            </w:r>
            <w:r>
              <w:rPr>
                <w:szCs w:val="21"/>
              </w:rPr>
              <w:t xml:space="preserve">300 </w:t>
            </w:r>
            <w:r>
              <w:rPr>
                <w:rFonts w:hint="eastAsia"/>
                <w:szCs w:val="21"/>
              </w:rPr>
              <w:t xml:space="preserve">元/天  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szCs w:val="21"/>
              </w:rPr>
            </w:pPr>
            <w:r>
              <w:rPr>
                <w:szCs w:val="21"/>
              </w:rPr>
              <w:t xml:space="preserve">           </w:t>
            </w:r>
            <w:r>
              <w:rPr>
                <w:rFonts w:hint="eastAsia"/>
                <w:szCs w:val="21"/>
              </w:rPr>
              <w:t>双床房</w:t>
            </w:r>
            <w:r>
              <w:rPr>
                <w:szCs w:val="21"/>
              </w:rPr>
              <w:t>(</w:t>
            </w:r>
            <w:r>
              <w:rPr>
                <w:rFonts w:hint="eastAsia"/>
                <w:szCs w:val="21"/>
              </w:rPr>
              <w:t>含双早</w:t>
            </w:r>
            <w:r>
              <w:rPr>
                <w:szCs w:val="21"/>
              </w:rPr>
              <w:t>)</w:t>
            </w:r>
            <w:r>
              <w:rPr>
                <w:rFonts w:hint="eastAsia"/>
                <w:szCs w:val="21"/>
              </w:rPr>
              <w:t>：</w:t>
            </w:r>
            <w:r>
              <w:rPr>
                <w:szCs w:val="21"/>
              </w:rPr>
              <w:t xml:space="preserve"> 300</w:t>
            </w:r>
            <w:r>
              <w:rPr>
                <w:rFonts w:hint="eastAsia"/>
                <w:szCs w:val="21"/>
              </w:rPr>
              <w:t>元</w:t>
            </w:r>
            <w:r>
              <w:rPr>
                <w:szCs w:val="21"/>
              </w:rPr>
              <w:t>/</w:t>
            </w:r>
            <w:r>
              <w:rPr>
                <w:rFonts w:hint="eastAsia"/>
                <w:szCs w:val="21"/>
              </w:rPr>
              <w:t>天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ind w:firstLine="1260" w:firstLineChars="600"/>
              <w:rPr>
                <w:szCs w:val="21"/>
              </w:rPr>
            </w:pPr>
            <w:r>
              <w:rPr>
                <w:rFonts w:hint="eastAsia"/>
                <w:szCs w:val="21"/>
              </w:rPr>
              <w:t>需安排合住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  </w:t>
            </w:r>
            <w:r>
              <w:rPr>
                <w:rFonts w:hint="eastAsia"/>
                <w:szCs w:val="21"/>
              </w:rPr>
              <w:t>自行解决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□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 xml:space="preserve">  </w:t>
            </w:r>
            <w:r>
              <w:rPr>
                <w:szCs w:val="21"/>
              </w:rPr>
              <w:t xml:space="preserve">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single" w:color="000000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szCs w:val="21"/>
              </w:rPr>
            </w:pPr>
            <w:r>
              <w:rPr>
                <w:rFonts w:hint="eastAsia"/>
                <w:szCs w:val="21"/>
              </w:rPr>
              <w:t>入住时间：（入住：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</w:t>
            </w:r>
            <w:r>
              <w:rPr>
                <w:szCs w:val="21"/>
              </w:rPr>
              <w:t xml:space="preserve">  </w:t>
            </w:r>
            <w:r>
              <w:rPr>
                <w:rFonts w:hint="eastAsia"/>
                <w:szCs w:val="21"/>
              </w:rPr>
              <w:t>离店：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月</w:t>
            </w:r>
            <w:r>
              <w:rPr>
                <w:szCs w:val="21"/>
              </w:rPr>
              <w:t xml:space="preserve">   </w:t>
            </w:r>
            <w:r>
              <w:rPr>
                <w:rFonts w:hint="eastAsia"/>
                <w:szCs w:val="21"/>
              </w:rPr>
              <w:t>日）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vMerge w:val="restart"/>
            <w:tcBorders>
              <w:top w:val="nil"/>
              <w:left w:val="single" w:color="auto" w:sz="12" w:space="0"/>
              <w:bottom w:val="nil"/>
              <w:right w:val="single" w:color="auto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汇款方式</w:t>
            </w:r>
          </w:p>
        </w:tc>
        <w:tc>
          <w:tcPr>
            <w:tcW w:w="7609" w:type="dxa"/>
            <w:gridSpan w:val="5"/>
            <w:tcBorders>
              <w:top w:val="single" w:color="auto" w:sz="8" w:space="0"/>
              <w:left w:val="nil"/>
              <w:bottom w:val="nil"/>
              <w:right w:val="single" w:color="000000" w:sz="8" w:space="0"/>
            </w:tcBorders>
            <w:shd w:val="clear" w:color="auto" w:fill="auto"/>
          </w:tcPr>
          <w:p>
            <w:pPr>
              <w:spacing w:line="400" w:lineRule="exact"/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户</w:t>
            </w:r>
            <w:r>
              <w:rPr>
                <w:b/>
                <w:szCs w:val="21"/>
              </w:rPr>
              <w:t xml:space="preserve">  名</w:t>
            </w:r>
            <w:r>
              <w:rPr>
                <w:szCs w:val="21"/>
              </w:rPr>
              <w:t>：</w:t>
            </w:r>
            <w:r>
              <w:rPr>
                <w:rFonts w:hint="eastAsia"/>
                <w:szCs w:val="21"/>
              </w:rPr>
              <w:t>北京</w:t>
            </w:r>
            <w:r>
              <w:rPr>
                <w:szCs w:val="21"/>
              </w:rPr>
              <w:t>中吉节能环保技术研究中心</w:t>
            </w:r>
            <w:r>
              <w:rPr>
                <w:rFonts w:hint="eastAsia"/>
                <w:szCs w:val="21"/>
              </w:rPr>
              <w:t xml:space="preserve"> </w:t>
            </w:r>
          </w:p>
          <w:p>
            <w:pPr>
              <w:spacing w:line="400" w:lineRule="exact"/>
              <w:rPr>
                <w:szCs w:val="21"/>
              </w:rPr>
            </w:pPr>
            <w:r>
              <w:rPr>
                <w:b/>
                <w:szCs w:val="21"/>
              </w:rPr>
              <w:t>开户行：</w:t>
            </w:r>
            <w:r>
              <w:rPr>
                <w:szCs w:val="21"/>
              </w:rPr>
              <w:t>工行北京中石化小营</w:t>
            </w:r>
            <w:r>
              <w:rPr>
                <w:rFonts w:hint="eastAsia"/>
                <w:szCs w:val="21"/>
              </w:rPr>
              <w:t>大厦</w:t>
            </w:r>
            <w:r>
              <w:rPr>
                <w:szCs w:val="21"/>
              </w:rPr>
              <w:t xml:space="preserve">支行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vMerge w:val="continue"/>
            <w:tcBorders>
              <w:top w:val="nil"/>
              <w:left w:val="single" w:color="auto" w:sz="12" w:space="0"/>
              <w:bottom w:val="nil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7609" w:type="dxa"/>
            <w:gridSpan w:val="5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</w:tcPr>
          <w:p>
            <w:pPr>
              <w:rPr>
                <w:szCs w:val="21"/>
              </w:rPr>
            </w:pPr>
            <w:r>
              <w:rPr>
                <w:rFonts w:hint="eastAsia"/>
                <w:b/>
                <w:szCs w:val="21"/>
              </w:rPr>
              <w:t>账</w:t>
            </w:r>
            <w:r>
              <w:rPr>
                <w:b/>
                <w:szCs w:val="21"/>
              </w:rPr>
              <w:t xml:space="preserve">  号：</w:t>
            </w:r>
            <w:r>
              <w:rPr>
                <w:rFonts w:hint="eastAsia"/>
                <w:szCs w:val="21"/>
              </w:rPr>
              <w:t xml:space="preserve">0200 2230 0920 0016 463  </w:t>
            </w:r>
            <w:r>
              <w:rPr>
                <w:szCs w:val="21"/>
              </w:rPr>
              <w:t xml:space="preserve">       </w:t>
            </w:r>
            <w:r>
              <w:rPr>
                <w:rFonts w:hint="eastAsia"/>
                <w:szCs w:val="21"/>
              </w:rPr>
              <w:t>用  途：VOCs会议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Cs w:val="21"/>
              </w:rPr>
              <w:t>参会费用</w:t>
            </w:r>
          </w:p>
        </w:tc>
        <w:tc>
          <w:tcPr>
            <w:tcW w:w="7609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宋体" w:hAnsi="宋体" w:eastAsia="宋体" w:cs="宋体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/>
                <w:szCs w:val="21"/>
              </w:rPr>
              <w:t>报名缴费：汇款</w:t>
            </w:r>
            <w:r>
              <w:rPr>
                <w:szCs w:val="21"/>
              </w:rPr>
              <w:t>2</w:t>
            </w:r>
            <w:r>
              <w:rPr>
                <w:rFonts w:hint="eastAsia"/>
                <w:szCs w:val="21"/>
                <w:lang w:val="en-US" w:eastAsia="zh-CN"/>
              </w:rPr>
              <w:t>0</w:t>
            </w:r>
            <w:r>
              <w:rPr>
                <w:szCs w:val="21"/>
              </w:rPr>
              <w:t>00</w:t>
            </w:r>
            <w:r>
              <w:rPr>
                <w:rFonts w:hint="eastAsia"/>
                <w:szCs w:val="21"/>
              </w:rPr>
              <w:t>元/人、现场</w:t>
            </w:r>
            <w:r>
              <w:rPr>
                <w:rFonts w:hint="eastAsia"/>
                <w:szCs w:val="21"/>
                <w:lang w:val="en-US" w:eastAsia="zh-CN"/>
              </w:rPr>
              <w:t>25</w:t>
            </w:r>
            <w:r>
              <w:rPr>
                <w:szCs w:val="21"/>
              </w:rPr>
              <w:t>00</w:t>
            </w:r>
            <w:r>
              <w:rPr>
                <w:rFonts w:hint="eastAsia"/>
                <w:szCs w:val="21"/>
              </w:rPr>
              <w:t>元/人</w:t>
            </w:r>
          </w:p>
        </w:tc>
      </w:tr>
    </w:tbl>
    <w:p>
      <w:pPr>
        <w:spacing w:line="340" w:lineRule="exact"/>
        <w:jc w:val="center"/>
        <w:rPr>
          <w:rFonts w:ascii="黑体" w:hAnsi="黑体" w:eastAsia="黑体" w:cs="宋体"/>
          <w:b/>
          <w:kern w:val="0"/>
          <w:sz w:val="28"/>
          <w:szCs w:val="28"/>
        </w:rPr>
      </w:pPr>
      <w:r>
        <w:rPr>
          <w:rFonts w:hint="eastAsia" w:ascii="黑体" w:hAnsi="黑体" w:eastAsia="黑体" w:cs="宋体"/>
          <w:b/>
          <w:kern w:val="0"/>
          <w:sz w:val="28"/>
          <w:szCs w:val="28"/>
        </w:rPr>
        <w:t>发票信息：</w:t>
      </w:r>
    </w:p>
    <w:tbl>
      <w:tblPr>
        <w:tblStyle w:val="7"/>
        <w:tblW w:w="9169" w:type="dxa"/>
        <w:tblInd w:w="-176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60"/>
        <w:gridCol w:w="3311"/>
        <w:gridCol w:w="1367"/>
        <w:gridCol w:w="851"/>
        <w:gridCol w:w="20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单位名称</w:t>
            </w:r>
          </w:p>
        </w:tc>
        <w:tc>
          <w:tcPr>
            <w:tcW w:w="4678" w:type="dxa"/>
            <w:gridSpan w:val="2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208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税号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地址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电话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开户行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帐号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票种</w:t>
            </w:r>
          </w:p>
        </w:tc>
        <w:tc>
          <w:tcPr>
            <w:tcW w:w="33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增值税专票 □</w:t>
            </w:r>
          </w:p>
        </w:tc>
        <w:tc>
          <w:tcPr>
            <w:tcW w:w="429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普票 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缴费方式</w:t>
            </w:r>
          </w:p>
        </w:tc>
        <w:tc>
          <w:tcPr>
            <w:tcW w:w="331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提前汇款 □</w:t>
            </w:r>
          </w:p>
        </w:tc>
        <w:tc>
          <w:tcPr>
            <w:tcW w:w="429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现场缴费 □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发票邮寄地址</w:t>
            </w:r>
          </w:p>
        </w:tc>
        <w:tc>
          <w:tcPr>
            <w:tcW w:w="7609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560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收件人</w:t>
            </w:r>
          </w:p>
        </w:tc>
        <w:tc>
          <w:tcPr>
            <w:tcW w:w="3311" w:type="dxa"/>
            <w:tcBorders>
              <w:top w:val="single" w:color="auto" w:sz="4" w:space="0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　</w:t>
            </w:r>
          </w:p>
        </w:tc>
        <w:tc>
          <w:tcPr>
            <w:tcW w:w="1367" w:type="dxa"/>
            <w:tcBorders>
              <w:top w:val="nil"/>
              <w:left w:val="nil"/>
              <w:bottom w:val="single" w:color="auto" w:sz="8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2931" w:type="dxa"/>
            <w:gridSpan w:val="2"/>
            <w:tcBorders>
              <w:top w:val="single" w:color="auto" w:sz="4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2"/>
              </w:rPr>
              <w:t>　</w:t>
            </w:r>
          </w:p>
        </w:tc>
      </w:tr>
    </w:tbl>
    <w:p>
      <w:pPr>
        <w:pStyle w:val="6"/>
        <w:pageBreakBefore/>
        <w:widowControl/>
        <w:shd w:val="clear" w:color="auto" w:fill="FFFFFF"/>
        <w:spacing w:before="0" w:beforeAutospacing="0" w:after="0" w:afterAutospacing="0" w:line="400" w:lineRule="exact"/>
        <w:rPr>
          <w:rFonts w:ascii="仿宋" w:hAnsi="仿宋" w:eastAsia="仿宋" w:cs="宋体"/>
        </w:rPr>
      </w:pPr>
      <w:r>
        <w:rPr>
          <w:rFonts w:hint="eastAsia" w:ascii="仿宋" w:hAnsi="仿宋" w:eastAsia="仿宋" w:cstheme="minorBidi"/>
          <w:b/>
          <w:sz w:val="28"/>
          <w:szCs w:val="28"/>
        </w:rPr>
        <w:t>附件表2、</w:t>
      </w:r>
      <w:r>
        <w:rPr>
          <w:rFonts w:hint="eastAsia" w:ascii="仿宋" w:hAnsi="仿宋" w:eastAsia="仿宋" w:cs="宋体"/>
        </w:rPr>
        <w:t xml:space="preserve">                                                               </w:t>
      </w:r>
    </w:p>
    <w:p>
      <w:pPr>
        <w:pStyle w:val="6"/>
        <w:widowControl/>
        <w:shd w:val="clear" w:color="auto" w:fill="FFFFFF"/>
        <w:spacing w:before="0" w:beforeAutospacing="0" w:after="0" w:afterAutospacing="0" w:line="440" w:lineRule="exact"/>
        <w:ind w:firstLine="180" w:firstLineChars="50"/>
        <w:jc w:val="center"/>
        <w:rPr>
          <w:rFonts w:ascii="仿宋" w:hAnsi="仿宋" w:eastAsia="仿宋" w:cs="宋体"/>
          <w:sz w:val="36"/>
          <w:szCs w:val="36"/>
        </w:rPr>
      </w:pPr>
      <w:r>
        <w:rPr>
          <w:rFonts w:hint="eastAsia" w:ascii="华文楷体" w:hAnsi="华文楷体" w:eastAsia="华文楷体"/>
          <w:b/>
          <w:sz w:val="36"/>
          <w:szCs w:val="36"/>
        </w:rPr>
        <w:t>企业VOCs废气需求表</w:t>
      </w:r>
    </w:p>
    <w:tbl>
      <w:tblPr>
        <w:tblStyle w:val="8"/>
        <w:tblW w:w="8931" w:type="dxa"/>
        <w:tblInd w:w="-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0"/>
        <w:gridCol w:w="319"/>
        <w:gridCol w:w="505"/>
        <w:gridCol w:w="1134"/>
        <w:gridCol w:w="396"/>
        <w:gridCol w:w="1075"/>
        <w:gridCol w:w="100"/>
        <w:gridCol w:w="1059"/>
        <w:gridCol w:w="66"/>
        <w:gridCol w:w="139"/>
        <w:gridCol w:w="888"/>
        <w:gridCol w:w="1128"/>
        <w:gridCol w:w="93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0" w:hRule="exact"/>
        </w:trPr>
        <w:tc>
          <w:tcPr>
            <w:tcW w:w="8931" w:type="dxa"/>
            <w:gridSpan w:val="13"/>
            <w:vAlign w:val="center"/>
          </w:tcPr>
          <w:p>
            <w:pPr>
              <w:spacing w:line="276" w:lineRule="auto"/>
              <w:jc w:val="center"/>
              <w:rPr>
                <w:rFonts w:ascii="黑体" w:hAnsi="黑体" w:eastAsia="黑体"/>
                <w:b/>
                <w:sz w:val="28"/>
                <w:szCs w:val="28"/>
              </w:rPr>
            </w:pPr>
            <w:r>
              <w:rPr>
                <w:rFonts w:hint="eastAsia" w:ascii="黑体" w:hAnsi="黑体" w:eastAsia="黑体"/>
                <w:b/>
                <w:sz w:val="28"/>
                <w:szCs w:val="28"/>
              </w:rPr>
              <w:t>企业基本信息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7" w:hRule="exact"/>
        </w:trPr>
        <w:tc>
          <w:tcPr>
            <w:tcW w:w="1509" w:type="dxa"/>
            <w:gridSpan w:val="2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企业称</w:t>
            </w:r>
          </w:p>
        </w:tc>
        <w:tc>
          <w:tcPr>
            <w:tcW w:w="3110" w:type="dxa"/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64" w:type="dxa"/>
            <w:gridSpan w:val="4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48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509" w:type="dxa"/>
            <w:gridSpan w:val="2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联 系 人</w:t>
            </w:r>
          </w:p>
        </w:tc>
        <w:tc>
          <w:tcPr>
            <w:tcW w:w="3110" w:type="dxa"/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364" w:type="dxa"/>
            <w:gridSpan w:val="4"/>
            <w:vAlign w:val="center"/>
          </w:tcPr>
          <w:p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联系电话</w:t>
            </w:r>
          </w:p>
        </w:tc>
        <w:tc>
          <w:tcPr>
            <w:tcW w:w="2948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9" w:hRule="exact"/>
        </w:trPr>
        <w:tc>
          <w:tcPr>
            <w:tcW w:w="8931" w:type="dxa"/>
            <w:gridSpan w:val="13"/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/>
                <w:b/>
                <w:sz w:val="28"/>
                <w:szCs w:val="28"/>
              </w:rPr>
              <w:t>废气信息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8931" w:type="dxa"/>
            <w:gridSpan w:val="13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废气参数(风量m3/h; 浓度mg/m3;压力Kpa; 温度℃)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废气风量</w:t>
            </w:r>
          </w:p>
        </w:tc>
        <w:tc>
          <w:tcPr>
            <w:tcW w:w="824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废气浓度</w:t>
            </w:r>
          </w:p>
        </w:tc>
        <w:tc>
          <w:tcPr>
            <w:tcW w:w="1075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59" w:type="dxa"/>
            <w:gridSpan w:val="2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废气压力</w:t>
            </w:r>
          </w:p>
        </w:tc>
        <w:tc>
          <w:tcPr>
            <w:tcW w:w="1093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28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废气温度</w:t>
            </w:r>
          </w:p>
        </w:tc>
        <w:tc>
          <w:tcPr>
            <w:tcW w:w="932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4" w:hRule="exact"/>
        </w:trPr>
        <w:tc>
          <w:tcPr>
            <w:tcW w:w="1190" w:type="dxa"/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废气情况描述</w:t>
            </w:r>
          </w:p>
        </w:tc>
        <w:tc>
          <w:tcPr>
            <w:tcW w:w="7741" w:type="dxa"/>
            <w:gridSpan w:val="12"/>
            <w:vAlign w:val="center"/>
          </w:tcPr>
          <w:p>
            <w:pPr>
              <w:rPr>
                <w:szCs w:val="21"/>
              </w:rPr>
            </w:pPr>
          </w:p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废气含氧量（V%）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废气含水量（V%）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是否含颗粒物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是否含腐蚀性物质（硫、氯、酸）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原有废气处理设备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8" w:hRule="exact"/>
        </w:trPr>
        <w:tc>
          <w:tcPr>
            <w:tcW w:w="3544" w:type="dxa"/>
            <w:gridSpan w:val="5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工厂生产时间</w:t>
            </w:r>
          </w:p>
        </w:tc>
        <w:tc>
          <w:tcPr>
            <w:tcW w:w="5387" w:type="dxa"/>
            <w:gridSpan w:val="8"/>
            <w:vAlign w:val="center"/>
          </w:tcPr>
          <w:p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连续 </w:t>
            </w:r>
            <w:r>
              <w:rPr>
                <w:rFonts w:hint="eastAsia" w:asciiTheme="minorEastAsia" w:hAnsiTheme="minorEastAsia"/>
                <w:szCs w:val="21"/>
              </w:rPr>
              <w:t>□</w:t>
            </w:r>
            <w:r>
              <w:rPr>
                <w:rFonts w:hint="eastAsia"/>
                <w:szCs w:val="21"/>
              </w:rPr>
              <w:t xml:space="preserve">     间歇 </w:t>
            </w:r>
            <w:r>
              <w:rPr>
                <w:rFonts w:hint="eastAsia" w:asciiTheme="minorEastAsia" w:hAnsiTheme="minorEastAsia"/>
                <w:szCs w:val="21"/>
              </w:rPr>
              <w:t>□    间歇时间</w:t>
            </w:r>
            <w:r>
              <w:rPr>
                <w:rFonts w:hint="eastAsia" w:asciiTheme="minorEastAsia" w:hAnsiTheme="minorEastAsia"/>
                <w:szCs w:val="21"/>
                <w:u w:val="single"/>
              </w:rPr>
              <w:t xml:space="preserve">    </w:t>
            </w:r>
            <w:r>
              <w:rPr>
                <w:rFonts w:hint="eastAsia" w:asciiTheme="minorEastAsia" w:hAnsiTheme="minorEastAsia"/>
                <w:szCs w:val="21"/>
              </w:rPr>
              <w:t>小时/天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190" w:type="dxa"/>
            <w:vMerge w:val="restart"/>
            <w:vAlign w:val="center"/>
          </w:tcPr>
          <w:p>
            <w:pPr>
              <w:spacing w:line="400" w:lineRule="exact"/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废气成分</w:t>
            </w:r>
          </w:p>
          <w:p>
            <w:pPr>
              <w:spacing w:line="4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(不够加行)</w:t>
            </w:r>
          </w:p>
        </w:tc>
        <w:tc>
          <w:tcPr>
            <w:tcW w:w="1958" w:type="dxa"/>
            <w:gridSpan w:val="3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VOCs成分</w:t>
            </w:r>
          </w:p>
        </w:tc>
        <w:tc>
          <w:tcPr>
            <w:tcW w:w="1571" w:type="dxa"/>
            <w:gridSpan w:val="3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浓度mg/</w:t>
            </w:r>
            <w:r>
              <w:rPr>
                <w:b/>
                <w:sz w:val="18"/>
                <w:szCs w:val="18"/>
              </w:rPr>
              <w:t xml:space="preserve"> m3</w:t>
            </w:r>
          </w:p>
        </w:tc>
        <w:tc>
          <w:tcPr>
            <w:tcW w:w="1125" w:type="dxa"/>
            <w:gridSpan w:val="2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浓度ppm</w:t>
            </w:r>
          </w:p>
        </w:tc>
        <w:tc>
          <w:tcPr>
            <w:tcW w:w="3087" w:type="dxa"/>
            <w:gridSpan w:val="4"/>
          </w:tcPr>
          <w:p>
            <w:pPr>
              <w:rPr>
                <w:b/>
                <w:sz w:val="18"/>
                <w:szCs w:val="18"/>
              </w:rPr>
            </w:pPr>
            <w:r>
              <w:rPr>
                <w:rFonts w:hint="eastAsia"/>
                <w:b/>
                <w:sz w:val="18"/>
                <w:szCs w:val="18"/>
              </w:rPr>
              <w:t>成分来源（来自于哪个工艺部位）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19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58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19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58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exact"/>
        </w:trPr>
        <w:tc>
          <w:tcPr>
            <w:tcW w:w="1190" w:type="dxa"/>
            <w:vMerge w:val="continue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958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571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125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3087" w:type="dxa"/>
            <w:gridSpan w:val="4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87" w:hRule="exact"/>
        </w:trPr>
        <w:tc>
          <w:tcPr>
            <w:tcW w:w="1190" w:type="dxa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处理目标</w:t>
            </w:r>
          </w:p>
        </w:tc>
        <w:tc>
          <w:tcPr>
            <w:tcW w:w="7741" w:type="dxa"/>
            <w:gridSpan w:val="12"/>
            <w:vAlign w:val="center"/>
          </w:tcPr>
          <w:p>
            <w:pPr>
              <w:rPr>
                <w:sz w:val="18"/>
                <w:szCs w:val="1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00" w:hRule="exact"/>
        </w:trPr>
        <w:tc>
          <w:tcPr>
            <w:tcW w:w="1190" w:type="dxa"/>
            <w:vAlign w:val="center"/>
          </w:tcPr>
          <w:p>
            <w:pPr>
              <w:rPr>
                <w:b/>
                <w:sz w:val="24"/>
                <w:szCs w:val="24"/>
              </w:rPr>
            </w:pPr>
            <w:r>
              <w:rPr>
                <w:rFonts w:hint="eastAsia"/>
                <w:b/>
                <w:sz w:val="24"/>
                <w:szCs w:val="24"/>
              </w:rPr>
              <w:t>填写说明</w:t>
            </w:r>
          </w:p>
        </w:tc>
        <w:tc>
          <w:tcPr>
            <w:tcW w:w="7741" w:type="dxa"/>
            <w:gridSpan w:val="12"/>
            <w:vAlign w:val="center"/>
          </w:tcPr>
          <w:p>
            <w:pPr>
              <w:spacing w:line="36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1、请圈出污染物组成数值单位，并填写污染物组成及对应浓度或占比；</w:t>
            </w:r>
          </w:p>
          <w:p>
            <w:pPr>
              <w:spacing w:line="36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2、“VOCs成分”一列请写明物质名称或化学式，如甲苯(C7H8)；</w:t>
            </w:r>
          </w:p>
          <w:p>
            <w:pPr>
              <w:spacing w:line="360" w:lineRule="exact"/>
              <w:rPr>
                <w:color w:val="FF0000"/>
                <w:sz w:val="18"/>
                <w:szCs w:val="18"/>
              </w:rPr>
            </w:pPr>
            <w:r>
              <w:rPr>
                <w:rFonts w:hint="eastAsia"/>
                <w:color w:val="FF0000"/>
                <w:sz w:val="18"/>
                <w:szCs w:val="18"/>
              </w:rPr>
              <w:t>3、废气中若含有卤化物（如氯）、硫化物、硅化物，或极易爆炸的组分（如氢气），即使量很小，也请写明这些物质的化学名称及其含量；</w:t>
            </w:r>
          </w:p>
          <w:p>
            <w:pPr>
              <w:spacing w:line="400" w:lineRule="exac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4、如果废气浓度随着废气量最大、最小、常规排放发生变化，请分别对应注明。</w:t>
            </w:r>
          </w:p>
        </w:tc>
      </w:tr>
    </w:tbl>
    <w:p>
      <w:pPr>
        <w:spacing w:line="340" w:lineRule="exact"/>
        <w:rPr>
          <w:rFonts w:ascii="仿宋_GB2312" w:eastAsia="仿宋_GB2312"/>
          <w:b/>
          <w:kern w:val="0"/>
          <w:sz w:val="28"/>
          <w:szCs w:val="28"/>
        </w:rPr>
      </w:pPr>
    </w:p>
    <w:p>
      <w:pPr>
        <w:spacing w:line="520" w:lineRule="exac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F365C1E"/>
    <w:multiLevelType w:val="multilevel"/>
    <w:tmpl w:val="5F365C1E"/>
    <w:lvl w:ilvl="0" w:tentative="0">
      <w:start w:val="1"/>
      <w:numFmt w:val="bullet"/>
      <w:lvlText w:val=""/>
      <w:lvlJc w:val="left"/>
      <w:pPr>
        <w:ind w:left="440" w:hanging="44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80" w:hanging="44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320" w:hanging="44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760" w:hanging="44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200" w:hanging="44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640" w:hanging="44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080" w:hanging="44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520" w:hanging="44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960" w:hanging="440"/>
      </w:pPr>
      <w:rPr>
        <w:rFonts w:hint="default" w:ascii="Wingdings" w:hAnsi="Wingdings"/>
      </w:rPr>
    </w:lvl>
  </w:abstractNum>
  <w:abstractNum w:abstractNumId="1">
    <w:nsid w:val="7BBA61B1"/>
    <w:multiLevelType w:val="multilevel"/>
    <w:tmpl w:val="7BBA61B1"/>
    <w:lvl w:ilvl="0" w:tentative="0">
      <w:start w:val="1"/>
      <w:numFmt w:val="bullet"/>
      <w:lvlText w:val=""/>
      <w:lvlJc w:val="left"/>
      <w:pPr>
        <w:ind w:left="987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WNmMzkzN2E0ZjBjODQ3YjRhYjBmMTcwN2QzYWM5YzQifQ=="/>
  </w:docVars>
  <w:rsids>
    <w:rsidRoot w:val="00DB2E08"/>
    <w:rsid w:val="0002546E"/>
    <w:rsid w:val="0002767F"/>
    <w:rsid w:val="00074B5E"/>
    <w:rsid w:val="000C630A"/>
    <w:rsid w:val="000C757B"/>
    <w:rsid w:val="002433AE"/>
    <w:rsid w:val="004B176A"/>
    <w:rsid w:val="005858F0"/>
    <w:rsid w:val="005901A0"/>
    <w:rsid w:val="0066706A"/>
    <w:rsid w:val="006B256A"/>
    <w:rsid w:val="00736FF9"/>
    <w:rsid w:val="008B1469"/>
    <w:rsid w:val="008B79FD"/>
    <w:rsid w:val="00A51191"/>
    <w:rsid w:val="00BA5FDB"/>
    <w:rsid w:val="00C309B7"/>
    <w:rsid w:val="00C816DD"/>
    <w:rsid w:val="00DB1137"/>
    <w:rsid w:val="00DB2E08"/>
    <w:rsid w:val="00E83A06"/>
    <w:rsid w:val="00E95F13"/>
    <w:rsid w:val="00EA02D3"/>
    <w:rsid w:val="00FB6E07"/>
    <w:rsid w:val="00FC5CAC"/>
    <w:rsid w:val="048A3010"/>
    <w:rsid w:val="36F37FA6"/>
    <w:rsid w:val="757DD876"/>
    <w:rsid w:val="FFBE9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/>
      <w:jc w:val="left"/>
    </w:pPr>
    <w:rPr>
      <w:rFonts w:ascii="Times New Roman" w:hAnsi="Times New Roman" w:eastAsia="宋体" w:cs="Times New Roman"/>
      <w:kern w:val="0"/>
      <w:sz w:val="24"/>
      <w:szCs w:val="24"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2"/>
    <w:semiHidden/>
    <w:qFormat/>
    <w:uiPriority w:val="99"/>
    <w:rPr>
      <w:sz w:val="18"/>
      <w:szCs w:val="18"/>
    </w:rPr>
  </w:style>
  <w:style w:type="paragraph" w:customStyle="1" w:styleId="12">
    <w:name w:val="列出段落1"/>
    <w:basedOn w:val="1"/>
    <w:qFormat/>
    <w:uiPriority w:val="0"/>
    <w:pPr>
      <w:ind w:firstLine="420" w:firstLineChars="200"/>
    </w:pPr>
    <w:rPr>
      <w:rFonts w:ascii="宋体" w:hAnsi="宋体" w:eastAsia="宋体" w:cs="Times New Roman"/>
      <w:kern w:val="21"/>
      <w:szCs w:val="21"/>
    </w:rPr>
  </w:style>
  <w:style w:type="paragraph" w:styleId="13">
    <w:name w:val="List Paragraph"/>
    <w:basedOn w:val="1"/>
    <w:qFormat/>
    <w:uiPriority w:val="34"/>
    <w:pPr>
      <w:ind w:firstLine="420" w:firstLineChars="200"/>
    </w:pPr>
  </w:style>
  <w:style w:type="character" w:customStyle="1" w:styleId="14">
    <w:name w:val="页眉 Char"/>
    <w:basedOn w:val="9"/>
    <w:link w:val="4"/>
    <w:qFormat/>
    <w:uiPriority w:val="99"/>
    <w:rPr>
      <w:sz w:val="18"/>
      <w:szCs w:val="18"/>
    </w:rPr>
  </w:style>
  <w:style w:type="character" w:customStyle="1" w:styleId="15">
    <w:name w:val="页脚 Char"/>
    <w:basedOn w:val="9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1379</Words>
  <Characters>1549</Characters>
  <Lines>14</Lines>
  <Paragraphs>3</Paragraphs>
  <TotalTime>1</TotalTime>
  <ScaleCrop>false</ScaleCrop>
  <LinksUpToDate>false</LinksUpToDate>
  <CharactersWithSpaces>1768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2023-02-20T10:11:00Z</dcterms:created>
  <dc:creator>lihz</dc:creator>
  <cp:lastModifiedBy>刘赟</cp:lastModifiedBy>
  <dcterms:modified xsi:type="dcterms:W3CDTF">2023-03-13T02:18:56Z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09E74AA83453F20B351BF463978ACC3D</vt:lpwstr>
  </property>
</Properties>
</file>